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hint="eastAsia"/>
          <w:b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kern w:val="0"/>
          <w:sz w:val="44"/>
          <w:szCs w:val="44"/>
          <w:lang w:val="en-US" w:eastAsia="zh-CN"/>
        </w:rPr>
        <w:t>附件5 “新土杯”首届新疆大学生土地国情调查大赛作品评选标准及评分表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0" w:rightChars="0" w:firstLine="640" w:firstLineChars="200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作品要求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体现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“新疆乡村振兴与自然资源管理创新”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主题的原创作品。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提倡“立足前沿、以小见大、问题导向、面向社会”的创作理念。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严格遵守学术道德与学术规范，不存在剽窃、抄袭、伪造、篡改等行为。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符合相关法律法规的要求。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评选原则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综合考虑作品的理论意义与现实意义。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重点对作品的选题价值、分析视角和分析深度评价。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初赛预选采取双盲评审制度与评审回避制度。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决赛采取集体评审打分方式。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对非原创、存在学术不端、违背相关法律法规的作品一票否决。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评选标准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主题性：主题明确，紧扣大赛主题。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科学性：学术价值鲜明，面向理论前沿或现实需求。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创新性：成果原创、特色鲜明，在选题、方法、结论等有新意。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合理性：数据翔实可靠、方法科学合理、结果科学合理、结论可信。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规范性：符合学术规范，成果编排得当、引用规范。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实用性：研究意义突出，取得成果或具有发展潜力。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参赛作品评分表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897"/>
        <w:gridCol w:w="832"/>
        <w:gridCol w:w="2924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700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评分项目</w:t>
            </w:r>
          </w:p>
        </w:tc>
        <w:tc>
          <w:tcPr>
            <w:tcW w:w="488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分值</w:t>
            </w: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评分等级</w:t>
            </w:r>
          </w:p>
        </w:tc>
        <w:tc>
          <w:tcPr>
            <w:tcW w:w="558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</w:t>
            </w:r>
          </w:p>
        </w:tc>
        <w:tc>
          <w:tcPr>
            <w:tcW w:w="1700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选题得当、紧扣主旨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10分</w:t>
            </w: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优秀（9-10分）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良好（7-8分）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一般（5-6分）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较差（3-4分）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差（1-2分）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1700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立足前沿、面向需求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15分</w:t>
            </w: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优秀（13-15分）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良好（10-12分）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一般（7-9分）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较差（4-6分）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差（1-3分）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</w:t>
            </w:r>
          </w:p>
        </w:tc>
        <w:tc>
          <w:tcPr>
            <w:tcW w:w="1700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特色鲜明、体现创新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15分</w:t>
            </w: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优秀（13-15分）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良好（10-12分）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一般（7-9分）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较差（4-6分）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差（1-3分）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4</w:t>
            </w:r>
          </w:p>
        </w:tc>
        <w:tc>
          <w:tcPr>
            <w:tcW w:w="1700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基础扎实、思路明确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10分</w:t>
            </w: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优秀（9-10分）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良好（7-8分）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一般（5-6分）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较差（3-4分）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差（1-2分）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5</w:t>
            </w:r>
          </w:p>
        </w:tc>
        <w:tc>
          <w:tcPr>
            <w:tcW w:w="1700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数据详实、方法得当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15分</w:t>
            </w: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优秀（13-15分）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良好（10-12分）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一般（7-9分）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较差（4-6分）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差（1-3分）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6</w:t>
            </w:r>
          </w:p>
        </w:tc>
        <w:tc>
          <w:tcPr>
            <w:tcW w:w="1700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结论可靠、意义突出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15分</w:t>
            </w: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优秀（13-15分）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良好（10-12分）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一般（7-9分）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较差（4-6分）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差（1-3分）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7</w:t>
            </w:r>
          </w:p>
        </w:tc>
        <w:tc>
          <w:tcPr>
            <w:tcW w:w="1700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编排合理、图表规范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10分</w:t>
            </w: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优秀（9-10分）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良好（7-8分）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一般（5-6分）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较差（3-4分）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差（1-2分）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8</w:t>
            </w:r>
          </w:p>
        </w:tc>
        <w:tc>
          <w:tcPr>
            <w:tcW w:w="1700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汇报清晰、展示生动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10分</w:t>
            </w: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优秀（9-10分）</w:t>
            </w:r>
          </w:p>
        </w:tc>
        <w:tc>
          <w:tcPr>
            <w:tcW w:w="558" w:type="pct"/>
            <w:vMerge w:val="restar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良好（7-8分）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一般（5-6分）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较差（3-4分）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0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16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差（1-2分）</w:t>
            </w:r>
          </w:p>
        </w:tc>
        <w:tc>
          <w:tcPr>
            <w:tcW w:w="558" w:type="pct"/>
            <w:vMerge w:val="continue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7" w:type="pct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总分</w:t>
            </w:r>
          </w:p>
        </w:tc>
        <w:tc>
          <w:tcPr>
            <w:tcW w:w="4462" w:type="pct"/>
            <w:gridSpan w:val="4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E337B"/>
    <w:rsid w:val="0A3F3E76"/>
    <w:rsid w:val="10FE337B"/>
    <w:rsid w:val="170571D3"/>
    <w:rsid w:val="2AD83EA3"/>
    <w:rsid w:val="32233775"/>
    <w:rsid w:val="400D6C9F"/>
    <w:rsid w:val="482C4F04"/>
    <w:rsid w:val="4E627A6E"/>
    <w:rsid w:val="6E64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4"/>
    <w:basedOn w:val="5"/>
    <w:next w:val="5"/>
    <w:qFormat/>
    <w:uiPriority w:val="99"/>
    <w:rPr>
      <w:rFonts w:cs="Times New Roman"/>
      <w:color w:val="auto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761</Words>
  <Characters>886</Characters>
  <Lines>0</Lines>
  <Paragraphs>0</Paragraphs>
  <TotalTime>4</TotalTime>
  <ScaleCrop>false</ScaleCrop>
  <LinksUpToDate>false</LinksUpToDate>
  <CharactersWithSpaces>886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2022-04-12T09:19:00Z</dcterms:created>
  <dc:creator>xixi</dc:creator>
  <cp:lastModifiedBy>chenqianli</cp:lastModifiedBy>
  <dcterms:modified xsi:type="dcterms:W3CDTF">2022-04-20T02:50:07Z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6242C4DF06594396B3E09319F99ED04B</vt:lpwstr>
  </property>
</Properties>
</file>